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1E54AB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29026311" w14:textId="72F54549" w:rsidR="00EA3D3C" w:rsidRPr="00994A3D" w:rsidRDefault="00654E8F" w:rsidP="0001436A">
      <w:pPr>
        <w:pStyle w:val="1"/>
      </w:pPr>
      <w:r w:rsidRPr="00994A3D">
        <w:t>Supplementary Data</w:t>
      </w:r>
    </w:p>
    <w:p w14:paraId="08451C38" w14:textId="6BB1D954" w:rsidR="00994A3D" w:rsidRPr="00994A3D" w:rsidRDefault="00965BCB" w:rsidP="00994A3D">
      <w:pPr>
        <w:spacing w:before="100" w:beforeAutospacing="1" w:after="100" w:afterAutospacing="1"/>
        <w:jc w:val="both"/>
        <w:rPr>
          <w:rFonts w:eastAsia="Times New Roman" w:cs="Times New Roman"/>
          <w:szCs w:val="24"/>
          <w:lang w:val="en-GB" w:eastAsia="en-GB"/>
        </w:rPr>
      </w:pP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Table 1:The concrete clinical information for TCGA whole dataset OV patients;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2: The immune modulatory genes(IMGs) extracted from the previous research;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3: The primer sequences;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4: The list of protein-coding DEGs in </w:t>
      </w:r>
      <w:proofErr w:type="spellStart"/>
      <w:r w:rsidR="002C0FFE" w:rsidRPr="002C0FFE">
        <w:rPr>
          <w:rFonts w:eastAsia="Times New Roman" w:cs="Times New Roman"/>
          <w:szCs w:val="24"/>
          <w:lang w:val="en-GB" w:eastAsia="en-GB"/>
        </w:rPr>
        <w:t>tumor</w:t>
      </w:r>
      <w:proofErr w:type="spellEnd"/>
      <w:r w:rsidR="002C0FFE" w:rsidRPr="002C0FFE">
        <w:rPr>
          <w:rFonts w:eastAsia="Times New Roman" w:cs="Times New Roman"/>
          <w:szCs w:val="24"/>
          <w:lang w:val="en-GB" w:eastAsia="en-GB"/>
        </w:rPr>
        <w:t xml:space="preserve"> and normal groups (n=9050);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5: The list of differentially expressed IRGs  (n=117);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6: GO terms in </w:t>
      </w:r>
      <w:proofErr w:type="spellStart"/>
      <w:r w:rsidR="002C0FFE" w:rsidRPr="002C0FFE">
        <w:rPr>
          <w:rFonts w:eastAsia="Times New Roman" w:cs="Times New Roman"/>
          <w:szCs w:val="24"/>
          <w:lang w:val="en-GB" w:eastAsia="en-GB"/>
        </w:rPr>
        <w:t>tumor</w:t>
      </w:r>
      <w:proofErr w:type="spellEnd"/>
      <w:r w:rsidR="002C0FFE" w:rsidRPr="002C0FFE">
        <w:rPr>
          <w:rFonts w:eastAsia="Times New Roman" w:cs="Times New Roman"/>
          <w:szCs w:val="24"/>
          <w:lang w:val="en-GB" w:eastAsia="en-GB"/>
        </w:rPr>
        <w:t xml:space="preserve"> and normal groups;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7: KEGG terms in </w:t>
      </w:r>
      <w:proofErr w:type="spellStart"/>
      <w:r w:rsidR="002C0FFE" w:rsidRPr="002C0FFE">
        <w:rPr>
          <w:rFonts w:eastAsia="Times New Roman" w:cs="Times New Roman"/>
          <w:szCs w:val="24"/>
          <w:lang w:val="en-GB" w:eastAsia="en-GB"/>
        </w:rPr>
        <w:t>tumor</w:t>
      </w:r>
      <w:proofErr w:type="spellEnd"/>
      <w:r w:rsidR="002C0FFE" w:rsidRPr="002C0FFE">
        <w:rPr>
          <w:rFonts w:eastAsia="Times New Roman" w:cs="Times New Roman"/>
          <w:szCs w:val="24"/>
          <w:lang w:val="en-GB" w:eastAsia="en-GB"/>
        </w:rPr>
        <w:t xml:space="preserve"> and normal groups;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8: The detailed risk genes expression, risk score, and risk group;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9: The list of DEGs in high and low risk groups;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 xml:space="preserve">10: TIDE analysis data of 390 OV patients; </w:t>
      </w:r>
      <w:r w:rsidRPr="00965BCB">
        <w:rPr>
          <w:rFonts w:eastAsia="Times New Roman" w:cs="Times New Roman"/>
          <w:szCs w:val="24"/>
          <w:lang w:val="en-GB" w:eastAsia="en-GB"/>
        </w:rPr>
        <w:t>Supplementary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Pr="002C0FFE">
        <w:rPr>
          <w:rFonts w:eastAsia="Times New Roman" w:cs="Times New Roman"/>
          <w:szCs w:val="24"/>
          <w:lang w:val="en-GB" w:eastAsia="en-GB"/>
        </w:rPr>
        <w:t>Table</w:t>
      </w:r>
      <w:r>
        <w:rPr>
          <w:rFonts w:cs="Times New Roman" w:hint="eastAsia"/>
          <w:szCs w:val="24"/>
          <w:lang w:val="en-GB" w:eastAsia="zh-CN"/>
        </w:rPr>
        <w:t xml:space="preserve"> </w:t>
      </w:r>
      <w:r w:rsidR="002C0FFE" w:rsidRPr="002C0FFE">
        <w:rPr>
          <w:rFonts w:eastAsia="Times New Roman" w:cs="Times New Roman"/>
          <w:szCs w:val="24"/>
          <w:lang w:val="en-GB" w:eastAsia="en-GB"/>
        </w:rPr>
        <w:t>11: Clinical characteristics, risk score and risk group of the IMvigor210 cohort.</w:t>
      </w:r>
    </w:p>
    <w:p w14:paraId="5E584EE8" w14:textId="4EF6CADF" w:rsidR="00994A3D" w:rsidRPr="00994A3D" w:rsidRDefault="00654E8F" w:rsidP="0001436A">
      <w:pPr>
        <w:pStyle w:val="1"/>
      </w:pPr>
      <w:r w:rsidRPr="00994A3D">
        <w:t xml:space="preserve">Supplementary Figures </w:t>
      </w:r>
    </w:p>
    <w:p w14:paraId="11EC8DA1" w14:textId="34390D33" w:rsidR="00994A3D" w:rsidRPr="001549D3" w:rsidRDefault="00DA6BC8" w:rsidP="00DA6BC8">
      <w:pPr>
        <w:keepNext/>
        <w:rPr>
          <w:rFonts w:cs="Times New Roman"/>
          <w:szCs w:val="24"/>
          <w:lang w:eastAsia="zh-CN"/>
        </w:rPr>
      </w:pPr>
      <w:r>
        <w:rPr>
          <w:rFonts w:cs="Times New Roman"/>
          <w:noProof/>
          <w:szCs w:val="24"/>
        </w:rPr>
        <w:drawing>
          <wp:inline distT="0" distB="0" distL="0" distR="0" wp14:anchorId="3670BF24" wp14:editId="0BBC1D85">
            <wp:extent cx="5935980" cy="2017776"/>
            <wp:effectExtent l="0" t="0" r="7620" b="1905"/>
            <wp:docPr id="2211298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29815" name="图片 2211298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2017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20E77" w14:textId="7513CFF6" w:rsidR="00994A3D" w:rsidRPr="00DA6BC8" w:rsidRDefault="00994A3D" w:rsidP="002B4A57">
      <w:pPr>
        <w:keepNext/>
        <w:rPr>
          <w:rFonts w:cs="Times New Roman"/>
          <w:b/>
          <w:szCs w:val="24"/>
        </w:rPr>
      </w:pPr>
      <w:r w:rsidRPr="00DA6BC8">
        <w:rPr>
          <w:rFonts w:cs="Times New Roman"/>
          <w:b/>
          <w:szCs w:val="24"/>
        </w:rPr>
        <w:t xml:space="preserve"> </w:t>
      </w:r>
      <w:r w:rsidR="003711ED" w:rsidRPr="003711ED">
        <w:rPr>
          <w:rFonts w:cs="Times New Roman"/>
          <w:b/>
          <w:szCs w:val="24"/>
        </w:rPr>
        <w:t>Supplementary Fig. 1</w:t>
      </w:r>
      <w:r w:rsidR="0006655F">
        <w:rPr>
          <w:rFonts w:cs="Times New Roman" w:hint="eastAsia"/>
          <w:b/>
          <w:szCs w:val="24"/>
          <w:lang w:eastAsia="zh-CN"/>
        </w:rPr>
        <w:t>.</w:t>
      </w:r>
      <w:r w:rsidRPr="00DA6BC8">
        <w:rPr>
          <w:rFonts w:cs="Times New Roman"/>
          <w:szCs w:val="24"/>
        </w:rPr>
        <w:t xml:space="preserve"> </w:t>
      </w:r>
      <w:r w:rsidR="00A37D49" w:rsidRPr="00A37D49">
        <w:rPr>
          <w:rFonts w:cs="Times New Roman"/>
          <w:szCs w:val="24"/>
        </w:rPr>
        <w:t xml:space="preserve">GO and KEGG enrichment analyses of differentially expressed immune- modulatory genes (DE-IMGs). </w:t>
      </w:r>
      <w:r w:rsidR="00A37D49" w:rsidRPr="00A37D49">
        <w:rPr>
          <w:rFonts w:cs="Times New Roman"/>
          <w:b/>
          <w:bCs/>
          <w:szCs w:val="24"/>
        </w:rPr>
        <w:t>(A)</w:t>
      </w:r>
      <w:r w:rsidR="00A37D49" w:rsidRPr="00A37D49">
        <w:rPr>
          <w:rFonts w:cs="Times New Roman"/>
          <w:szCs w:val="24"/>
        </w:rPr>
        <w:t xml:space="preserve"> GO enrichment analysis results of DE-IMGs, categorized into three ontologies: Biological Process (BP), Molecular Function (MF), and Cellular Component (CC). </w:t>
      </w:r>
      <w:r w:rsidR="00A37D49" w:rsidRPr="00A37D49">
        <w:rPr>
          <w:rFonts w:cs="Times New Roman"/>
          <w:b/>
          <w:bCs/>
          <w:szCs w:val="24"/>
        </w:rPr>
        <w:t>(B)</w:t>
      </w:r>
      <w:r w:rsidR="00A37D49" w:rsidRPr="00A37D49">
        <w:rPr>
          <w:rFonts w:cs="Times New Roman"/>
          <w:szCs w:val="24"/>
        </w:rPr>
        <w:t xml:space="preserve"> KEGG pathway enrichment analysis of DE-IMGs.</w:t>
      </w:r>
    </w:p>
    <w:p w14:paraId="0CB5E52A" w14:textId="77777777" w:rsidR="00A37D49" w:rsidRDefault="00A37D49" w:rsidP="00A37D49">
      <w:pPr>
        <w:spacing w:before="240"/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4BA02D5A" wp14:editId="71D16B80">
            <wp:extent cx="4015740" cy="1758696"/>
            <wp:effectExtent l="0" t="0" r="3810" b="0"/>
            <wp:docPr id="17219168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916898" name="图片 172191689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1758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A5D3" w14:textId="636DD724" w:rsidR="00A37D49" w:rsidRPr="00A37D49" w:rsidRDefault="003711ED" w:rsidP="00A37D49">
      <w:pPr>
        <w:spacing w:before="240"/>
        <w:jc w:val="both"/>
        <w:rPr>
          <w:lang w:eastAsia="zh-CN"/>
        </w:rPr>
      </w:pPr>
      <w:r w:rsidRPr="003711ED">
        <w:rPr>
          <w:rFonts w:cs="Times New Roman"/>
          <w:b/>
          <w:bCs/>
          <w:szCs w:val="24"/>
        </w:rPr>
        <w:t xml:space="preserve">Supplementary Fig. </w:t>
      </w:r>
      <w:r>
        <w:rPr>
          <w:rFonts w:cs="Times New Roman" w:hint="eastAsia"/>
          <w:b/>
          <w:bCs/>
          <w:szCs w:val="24"/>
          <w:lang w:eastAsia="zh-CN"/>
        </w:rPr>
        <w:t>2</w:t>
      </w:r>
      <w:r w:rsidR="0006655F">
        <w:rPr>
          <w:rFonts w:cs="Times New Roman" w:hint="eastAsia"/>
          <w:b/>
          <w:bCs/>
          <w:szCs w:val="24"/>
          <w:lang w:eastAsia="zh-CN"/>
        </w:rPr>
        <w:t>.</w:t>
      </w:r>
      <w:r w:rsidR="00A37D49" w:rsidRPr="00A37D49">
        <w:rPr>
          <w:rFonts w:cs="Times New Roman"/>
          <w:b/>
          <w:bCs/>
          <w:szCs w:val="24"/>
        </w:rPr>
        <w:t xml:space="preserve"> </w:t>
      </w:r>
      <w:r w:rsidR="00A37D49" w:rsidRPr="00A37D49">
        <w:rPr>
          <w:rFonts w:cs="Times New Roman"/>
          <w:szCs w:val="24"/>
        </w:rPr>
        <w:t>Identification</w:t>
      </w:r>
      <w:r w:rsidR="00A37D49">
        <w:rPr>
          <w:rFonts w:cs="Times New Roman" w:hint="eastAsia"/>
          <w:szCs w:val="24"/>
          <w:lang w:eastAsia="zh-CN"/>
        </w:rPr>
        <w:t xml:space="preserve"> </w:t>
      </w:r>
      <w:r w:rsidR="00A37D49" w:rsidRPr="00A37D49">
        <w:rPr>
          <w:rFonts w:cs="Times New Roman"/>
          <w:szCs w:val="24"/>
        </w:rPr>
        <w:t>of survival-associated DE-IMGs via univariate Cox regression analysis.</w:t>
      </w:r>
    </w:p>
    <w:p w14:paraId="369A19FD" w14:textId="4F878152" w:rsidR="00A37D49" w:rsidRDefault="00A37D49" w:rsidP="00A37D49">
      <w:pPr>
        <w:keepNext/>
        <w:jc w:val="center"/>
        <w:rPr>
          <w:rFonts w:cs="Times New Roman"/>
          <w:szCs w:val="24"/>
          <w:lang w:eastAsia="zh-CN"/>
        </w:rPr>
      </w:pPr>
      <w:r>
        <w:rPr>
          <w:rFonts w:cs="Times New Roman"/>
          <w:noProof/>
          <w:szCs w:val="24"/>
          <w:lang w:eastAsia="zh-CN"/>
        </w:rPr>
        <w:lastRenderedPageBreak/>
        <w:drawing>
          <wp:inline distT="0" distB="0" distL="0" distR="0" wp14:anchorId="1C7901C1" wp14:editId="3A3A8371">
            <wp:extent cx="5981700" cy="1815084"/>
            <wp:effectExtent l="0" t="0" r="0" b="0"/>
            <wp:docPr id="7581137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113794" name="图片 75811379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1815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3B9CA" w14:textId="4E61E541" w:rsidR="00A37D49" w:rsidRDefault="003711ED" w:rsidP="00A37D49">
      <w:pPr>
        <w:pStyle w:val="aff9"/>
        <w:spacing w:before="296" w:line="225" w:lineRule="auto"/>
        <w:ind w:left="8" w:right="62" w:firstLine="4"/>
      </w:pPr>
      <w:r w:rsidRPr="003711ED">
        <w:rPr>
          <w:b/>
          <w:bCs/>
          <w:spacing w:val="-1"/>
        </w:rPr>
        <w:t xml:space="preserve">Supplementary Fig. </w:t>
      </w:r>
      <w:r>
        <w:rPr>
          <w:rFonts w:eastAsiaTheme="minorEastAsia" w:hint="eastAsia"/>
          <w:b/>
          <w:bCs/>
          <w:spacing w:val="-1"/>
          <w:lang w:eastAsia="zh-CN"/>
        </w:rPr>
        <w:t>3</w:t>
      </w:r>
      <w:r w:rsidR="0006655F">
        <w:rPr>
          <w:rFonts w:eastAsiaTheme="minorEastAsia" w:hint="eastAsia"/>
          <w:b/>
          <w:bCs/>
          <w:spacing w:val="-1"/>
          <w:lang w:eastAsia="zh-CN"/>
        </w:rPr>
        <w:t>.</w:t>
      </w:r>
      <w:r w:rsidR="00EE73E4">
        <w:rPr>
          <w:rFonts w:eastAsiaTheme="minorEastAsia" w:hint="eastAsia"/>
          <w:spacing w:val="-1"/>
          <w:lang w:eastAsia="zh-CN"/>
        </w:rPr>
        <w:t xml:space="preserve"> </w:t>
      </w:r>
      <w:r w:rsidR="00A37D49">
        <w:rPr>
          <w:spacing w:val="-1"/>
        </w:rPr>
        <w:t xml:space="preserve"> GSEA Enrichment Analysis (GO)</w:t>
      </w:r>
      <w:r w:rsidR="00A37D49">
        <w:rPr>
          <w:spacing w:val="-11"/>
        </w:rPr>
        <w:t xml:space="preserve"> </w:t>
      </w:r>
      <w:r w:rsidR="00A37D49">
        <w:rPr>
          <w:spacing w:val="-1"/>
        </w:rPr>
        <w:t>between the Hi</w:t>
      </w:r>
      <w:r w:rsidR="00A37D49">
        <w:rPr>
          <w:spacing w:val="-2"/>
        </w:rPr>
        <w:t xml:space="preserve">gh-risk </w:t>
      </w:r>
      <w:r w:rsidR="00A37D49" w:rsidRPr="00A37D49">
        <w:rPr>
          <w:b/>
          <w:bCs/>
          <w:spacing w:val="-2"/>
        </w:rPr>
        <w:t>(A)</w:t>
      </w:r>
      <w:r w:rsidR="00A37D49">
        <w:rPr>
          <w:rFonts w:eastAsiaTheme="minorEastAsia" w:hint="eastAsia"/>
          <w:b/>
          <w:bCs/>
          <w:spacing w:val="-2"/>
          <w:lang w:eastAsia="zh-CN"/>
        </w:rPr>
        <w:t xml:space="preserve"> </w:t>
      </w:r>
      <w:r w:rsidR="00A37D49">
        <w:rPr>
          <w:spacing w:val="-2"/>
        </w:rPr>
        <w:t>and Low-risk</w:t>
      </w:r>
      <w:r w:rsidR="00A37D49">
        <w:t xml:space="preserve"> Groups</w:t>
      </w:r>
      <w:r w:rsidR="00A37D49">
        <w:rPr>
          <w:rFonts w:eastAsiaTheme="minorEastAsia" w:hint="eastAsia"/>
          <w:lang w:eastAsia="zh-CN"/>
        </w:rPr>
        <w:t xml:space="preserve"> </w:t>
      </w:r>
      <w:r w:rsidR="00A37D49" w:rsidRPr="00A37D49">
        <w:rPr>
          <w:b/>
          <w:bCs/>
          <w:spacing w:val="1"/>
        </w:rPr>
        <w:t>(B)</w:t>
      </w:r>
      <w:r w:rsidR="00A37D49">
        <w:rPr>
          <w:spacing w:val="1"/>
        </w:rPr>
        <w:t>.</w:t>
      </w:r>
    </w:p>
    <w:p w14:paraId="50890937" w14:textId="6E86C826" w:rsidR="00A37D49" w:rsidRDefault="00A37D49" w:rsidP="00A37D49">
      <w:pPr>
        <w:keepNext/>
        <w:jc w:val="center"/>
        <w:rPr>
          <w:rFonts w:cs="Times New Roman"/>
          <w:szCs w:val="24"/>
          <w:lang w:eastAsia="zh-CN"/>
        </w:rPr>
      </w:pPr>
      <w:r>
        <w:rPr>
          <w:rFonts w:cs="Times New Roman" w:hint="eastAsia"/>
          <w:noProof/>
          <w:szCs w:val="24"/>
          <w:lang w:eastAsia="zh-CN"/>
        </w:rPr>
        <w:drawing>
          <wp:inline distT="0" distB="0" distL="0" distR="0" wp14:anchorId="43B94447" wp14:editId="03B7B8D5">
            <wp:extent cx="5696712" cy="4774692"/>
            <wp:effectExtent l="0" t="0" r="0" b="6985"/>
            <wp:docPr id="7937757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75747" name="图片 79377574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6712" cy="4774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068EA" w14:textId="6370734F" w:rsidR="00A37D49" w:rsidRPr="00A37D49" w:rsidRDefault="003711ED" w:rsidP="00A37D49">
      <w:pPr>
        <w:pStyle w:val="aff9"/>
        <w:spacing w:before="296" w:line="225" w:lineRule="auto"/>
        <w:ind w:left="8" w:right="62" w:firstLine="4"/>
        <w:jc w:val="both"/>
        <w:rPr>
          <w:spacing w:val="-1"/>
        </w:rPr>
      </w:pPr>
      <w:r w:rsidRPr="003711ED">
        <w:rPr>
          <w:b/>
          <w:bCs/>
          <w:spacing w:val="-1"/>
        </w:rPr>
        <w:t xml:space="preserve">Supplementary Fig. </w:t>
      </w:r>
      <w:r>
        <w:rPr>
          <w:rFonts w:eastAsiaTheme="minorEastAsia" w:hint="eastAsia"/>
          <w:b/>
          <w:bCs/>
          <w:spacing w:val="-1"/>
          <w:lang w:eastAsia="zh-CN"/>
        </w:rPr>
        <w:t>4</w:t>
      </w:r>
      <w:r w:rsidR="00A37D49" w:rsidRPr="00A37D49">
        <w:rPr>
          <w:b/>
          <w:bCs/>
          <w:spacing w:val="-1"/>
        </w:rPr>
        <w:t>.</w:t>
      </w:r>
      <w:r w:rsidR="00A37D49" w:rsidRPr="00A37D49">
        <w:rPr>
          <w:spacing w:val="-1"/>
        </w:rPr>
        <w:t xml:space="preserve">  </w:t>
      </w:r>
      <w:r w:rsidR="00A37D49" w:rsidRPr="003711ED">
        <w:rPr>
          <w:b/>
          <w:bCs/>
          <w:spacing w:val="-1"/>
        </w:rPr>
        <w:t>Immune  Cell  Composition,  Immune  Pattern  Clustering  (TCGA-OV Cohort) and Risk Stratification (IMvigor210 Cohort).</w:t>
      </w:r>
      <w:r w:rsidR="00A37D49" w:rsidRPr="00A37D49">
        <w:rPr>
          <w:spacing w:val="-1"/>
        </w:rPr>
        <w:t xml:space="preserve"> </w:t>
      </w:r>
      <w:r w:rsidR="00A37D49" w:rsidRPr="00A37D49">
        <w:rPr>
          <w:b/>
          <w:bCs/>
          <w:spacing w:val="-1"/>
        </w:rPr>
        <w:t>(A)</w:t>
      </w:r>
      <w:r w:rsidR="00A37D49" w:rsidRPr="00A37D49">
        <w:rPr>
          <w:spacing w:val="-1"/>
        </w:rPr>
        <w:t xml:space="preserve"> Stacked bar chart showing the composition percentages of 22 immune cell types (estimated by CIBERSORT) in each ovarian cancer (OV) sample from the TCGA-OV cohort. </w:t>
      </w:r>
      <w:r w:rsidR="00A37D49" w:rsidRPr="00A37D49">
        <w:rPr>
          <w:b/>
          <w:bCs/>
          <w:spacing w:val="-1"/>
        </w:rPr>
        <w:t>(B)</w:t>
      </w:r>
      <w:r w:rsidR="00A37D49" w:rsidRPr="00A37D49">
        <w:rPr>
          <w:spacing w:val="-1"/>
        </w:rPr>
        <w:t xml:space="preserve"> Hierarchical clustering heatmap illustrating distinct </w:t>
      </w:r>
      <w:r w:rsidR="00A37D49" w:rsidRPr="00A37D49">
        <w:rPr>
          <w:spacing w:val="-1"/>
        </w:rPr>
        <w:lastRenderedPageBreak/>
        <w:t xml:space="preserve">immune patterns between high-risk and low-risk groups in the TCGA-OV cohort. </w:t>
      </w:r>
      <w:r w:rsidR="00A37D49" w:rsidRPr="00A37D49">
        <w:rPr>
          <w:b/>
          <w:bCs/>
          <w:spacing w:val="-1"/>
        </w:rPr>
        <w:t>(C)</w:t>
      </w:r>
      <w:r w:rsidR="00A37D49" w:rsidRPr="00A37D49">
        <w:rPr>
          <w:spacing w:val="-1"/>
        </w:rPr>
        <w:t xml:space="preserve"> Risk score distribution and patient stratification in the IMvigor210 cohort.</w:t>
      </w:r>
    </w:p>
    <w:sectPr w:rsidR="00A37D49" w:rsidRPr="00A37D49" w:rsidSect="0093429D">
      <w:headerReference w:type="even" r:id="rId16"/>
      <w:footerReference w:type="even" r:id="rId17"/>
      <w:footerReference w:type="default" r:id="rId18"/>
      <w:headerReference w:type="first" r:id="rId19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4F5410" w14:textId="77777777" w:rsidR="00D9740B" w:rsidRDefault="00D9740B" w:rsidP="00117666">
      <w:pPr>
        <w:spacing w:after="0"/>
      </w:pPr>
      <w:r>
        <w:separator/>
      </w:r>
    </w:p>
  </w:endnote>
  <w:endnote w:type="continuationSeparator" w:id="0">
    <w:p w14:paraId="22AC9471" w14:textId="77777777" w:rsidR="00D9740B" w:rsidRDefault="00D9740B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4AB28" w14:textId="77777777" w:rsidR="00FD255E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77777777" w:rsidR="00FD255E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D054D26" w14:textId="77777777" w:rsidR="00FD255E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2FF27" w14:textId="77777777" w:rsidR="00FD255E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FD255E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085E15EB" w14:textId="77777777" w:rsidR="00FD255E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C7FA0" w14:textId="77777777" w:rsidR="00D9740B" w:rsidRDefault="00D9740B" w:rsidP="00117666">
      <w:pPr>
        <w:spacing w:after="0"/>
      </w:pPr>
      <w:r>
        <w:separator/>
      </w:r>
    </w:p>
  </w:footnote>
  <w:footnote w:type="continuationSeparator" w:id="0">
    <w:p w14:paraId="35B1FC58" w14:textId="77777777" w:rsidR="00D9740B" w:rsidRDefault="00D9740B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1EDBA" w14:textId="77777777" w:rsidR="00FD255E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11A5B" w14:textId="07FF129E" w:rsidR="00FD255E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821115517">
    <w:abstractNumId w:val="0"/>
  </w:num>
  <w:num w:numId="2" w16cid:durableId="1683165481">
    <w:abstractNumId w:val="4"/>
  </w:num>
  <w:num w:numId="3" w16cid:durableId="615480040">
    <w:abstractNumId w:val="1"/>
  </w:num>
  <w:num w:numId="4" w16cid:durableId="1566183234">
    <w:abstractNumId w:val="5"/>
  </w:num>
  <w:num w:numId="5" w16cid:durableId="18077027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9223692">
    <w:abstractNumId w:val="3"/>
  </w:num>
  <w:num w:numId="7" w16cid:durableId="1359550598">
    <w:abstractNumId w:val="6"/>
  </w:num>
  <w:num w:numId="8" w16cid:durableId="1559510671">
    <w:abstractNumId w:val="6"/>
  </w:num>
  <w:num w:numId="9" w16cid:durableId="1734543462">
    <w:abstractNumId w:val="6"/>
  </w:num>
  <w:num w:numId="10" w16cid:durableId="708839681">
    <w:abstractNumId w:val="6"/>
  </w:num>
  <w:num w:numId="11" w16cid:durableId="2046978920">
    <w:abstractNumId w:val="6"/>
  </w:num>
  <w:num w:numId="12" w16cid:durableId="2124614653">
    <w:abstractNumId w:val="6"/>
  </w:num>
  <w:num w:numId="13" w16cid:durableId="150105246">
    <w:abstractNumId w:val="3"/>
  </w:num>
  <w:num w:numId="14" w16cid:durableId="515769853">
    <w:abstractNumId w:val="2"/>
  </w:num>
  <w:num w:numId="15" w16cid:durableId="1753046014">
    <w:abstractNumId w:val="2"/>
  </w:num>
  <w:num w:numId="16" w16cid:durableId="665939894">
    <w:abstractNumId w:val="2"/>
  </w:num>
  <w:num w:numId="17" w16cid:durableId="2078749421">
    <w:abstractNumId w:val="2"/>
  </w:num>
  <w:num w:numId="18" w16cid:durableId="825047625">
    <w:abstractNumId w:val="2"/>
  </w:num>
  <w:num w:numId="19" w16cid:durableId="8038104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MDY2MbG0MDSzMDE1MzNV0lEKTi0uzszPAykwrgUA+TvrIywAAAA="/>
  </w:docVars>
  <w:rsids>
    <w:rsidRoot w:val="00803D24"/>
    <w:rsid w:val="0001436A"/>
    <w:rsid w:val="00034304"/>
    <w:rsid w:val="00035434"/>
    <w:rsid w:val="00052A14"/>
    <w:rsid w:val="0006655F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0FFE"/>
    <w:rsid w:val="002C74CA"/>
    <w:rsid w:val="00317F38"/>
    <w:rsid w:val="003544FB"/>
    <w:rsid w:val="003711ED"/>
    <w:rsid w:val="003D2D47"/>
    <w:rsid w:val="003D2F2D"/>
    <w:rsid w:val="00401590"/>
    <w:rsid w:val="00447801"/>
    <w:rsid w:val="00452E9C"/>
    <w:rsid w:val="004735C8"/>
    <w:rsid w:val="004961FF"/>
    <w:rsid w:val="00517A89"/>
    <w:rsid w:val="005250F2"/>
    <w:rsid w:val="00593EEA"/>
    <w:rsid w:val="005A5EEE"/>
    <w:rsid w:val="005B7D72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471F9"/>
    <w:rsid w:val="007501BE"/>
    <w:rsid w:val="00790BB3"/>
    <w:rsid w:val="007C206C"/>
    <w:rsid w:val="007F3219"/>
    <w:rsid w:val="00803D24"/>
    <w:rsid w:val="00817DD6"/>
    <w:rsid w:val="00885156"/>
    <w:rsid w:val="009151AA"/>
    <w:rsid w:val="0093429D"/>
    <w:rsid w:val="00943573"/>
    <w:rsid w:val="00965BCB"/>
    <w:rsid w:val="00970F7D"/>
    <w:rsid w:val="00994A3D"/>
    <w:rsid w:val="009C2B12"/>
    <w:rsid w:val="009C70F3"/>
    <w:rsid w:val="00A1530E"/>
    <w:rsid w:val="00A174D9"/>
    <w:rsid w:val="00A37D49"/>
    <w:rsid w:val="00A569CD"/>
    <w:rsid w:val="00AB5EE2"/>
    <w:rsid w:val="00AB6715"/>
    <w:rsid w:val="00B1671E"/>
    <w:rsid w:val="00B25EB8"/>
    <w:rsid w:val="00B354E1"/>
    <w:rsid w:val="00B37F4D"/>
    <w:rsid w:val="00C52A7B"/>
    <w:rsid w:val="00C56BAF"/>
    <w:rsid w:val="00C679AA"/>
    <w:rsid w:val="00C75972"/>
    <w:rsid w:val="00CC0A3A"/>
    <w:rsid w:val="00CD066B"/>
    <w:rsid w:val="00CE4FEE"/>
    <w:rsid w:val="00D30CCD"/>
    <w:rsid w:val="00D9740B"/>
    <w:rsid w:val="00DA6BC8"/>
    <w:rsid w:val="00DB185F"/>
    <w:rsid w:val="00DB59C3"/>
    <w:rsid w:val="00DC259A"/>
    <w:rsid w:val="00DE23E8"/>
    <w:rsid w:val="00E43BEB"/>
    <w:rsid w:val="00E52377"/>
    <w:rsid w:val="00E64E17"/>
    <w:rsid w:val="00E866C9"/>
    <w:rsid w:val="00EA3D3C"/>
    <w:rsid w:val="00EE73E4"/>
    <w:rsid w:val="00F46900"/>
    <w:rsid w:val="00F61D89"/>
    <w:rsid w:val="00FD2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0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a5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a5">
    <w:name w:val="副标题 字符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6">
    <w:name w:val="Balloon Text"/>
    <w:basedOn w:val="a0"/>
    <w:link w:val="a7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批注框文本 字符"/>
    <w:basedOn w:val="a1"/>
    <w:link w:val="a6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8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9">
    <w:name w:val="caption"/>
    <w:basedOn w:val="a0"/>
    <w:next w:val="aa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a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b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B6715"/>
    <w:rPr>
      <w:sz w:val="20"/>
      <w:szCs w:val="20"/>
    </w:rPr>
  </w:style>
  <w:style w:type="character" w:customStyle="1" w:styleId="ad">
    <w:name w:val="批注文字 字符"/>
    <w:basedOn w:val="a1"/>
    <w:link w:val="ac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B6715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f0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f1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endnote text"/>
    <w:basedOn w:val="a0"/>
    <w:link w:val="af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3">
    <w:name w:val="尾注文本 字符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4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5">
    <w:name w:val="footer"/>
    <w:basedOn w:val="a0"/>
    <w:link w:val="af6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af6">
    <w:name w:val="页脚 字符"/>
    <w:basedOn w:val="a1"/>
    <w:link w:val="af5"/>
    <w:uiPriority w:val="99"/>
    <w:rsid w:val="00AB6715"/>
    <w:rPr>
      <w:rFonts w:ascii="Times New Roman" w:hAnsi="Times New Roman"/>
      <w:sz w:val="24"/>
    </w:rPr>
  </w:style>
  <w:style w:type="character" w:styleId="af7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8">
    <w:name w:val="footnote text"/>
    <w:basedOn w:val="a0"/>
    <w:link w:val="af9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9">
    <w:name w:val="脚注文本 字符"/>
    <w:basedOn w:val="a1"/>
    <w:link w:val="af8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a">
    <w:name w:val="header"/>
    <w:basedOn w:val="a0"/>
    <w:link w:val="afb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afb">
    <w:name w:val="页眉 字符"/>
    <w:basedOn w:val="a1"/>
    <w:link w:val="afa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c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d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e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f">
    <w:name w:val="line number"/>
    <w:basedOn w:val="a1"/>
    <w:uiPriority w:val="99"/>
    <w:semiHidden/>
    <w:unhideWhenUsed/>
    <w:rsid w:val="00AB6715"/>
  </w:style>
  <w:style w:type="character" w:customStyle="1" w:styleId="30">
    <w:name w:val="标题 3 字符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0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f1">
    <w:name w:val="Quote"/>
    <w:basedOn w:val="a0"/>
    <w:next w:val="a0"/>
    <w:link w:val="aff2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2">
    <w:name w:val="引用 字符"/>
    <w:basedOn w:val="a1"/>
    <w:link w:val="aff1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f3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f4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f5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6">
    <w:name w:val="Title"/>
    <w:basedOn w:val="a0"/>
    <w:next w:val="a0"/>
    <w:link w:val="aff7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aff7">
    <w:name w:val="标题 字符"/>
    <w:basedOn w:val="a1"/>
    <w:link w:val="aff6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f6"/>
    <w:next w:val="aff6"/>
    <w:qFormat/>
    <w:rsid w:val="0001436A"/>
    <w:pPr>
      <w:spacing w:after="120"/>
    </w:pPr>
    <w:rPr>
      <w:i/>
    </w:rPr>
  </w:style>
  <w:style w:type="paragraph" w:styleId="aff8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  <w:style w:type="paragraph" w:styleId="aff9">
    <w:name w:val="Body Text"/>
    <w:basedOn w:val="a0"/>
    <w:link w:val="affa"/>
    <w:semiHidden/>
    <w:qFormat/>
    <w:rsid w:val="00A37D49"/>
    <w:pPr>
      <w:kinsoku w:val="0"/>
      <w:autoSpaceDE w:val="0"/>
      <w:autoSpaceDN w:val="0"/>
      <w:adjustRightInd w:val="0"/>
      <w:snapToGrid w:val="0"/>
      <w:spacing w:before="0" w:after="160"/>
      <w:textAlignment w:val="baseline"/>
    </w:pPr>
    <w:rPr>
      <w:rFonts w:eastAsia="Times New Roman" w:cs="Times New Roman"/>
      <w:noProof/>
      <w:snapToGrid w:val="0"/>
      <w:color w:val="000000"/>
      <w:szCs w:val="24"/>
    </w:rPr>
  </w:style>
  <w:style w:type="character" w:customStyle="1" w:styleId="affa">
    <w:name w:val="正文文本 字符"/>
    <w:basedOn w:val="a1"/>
    <w:link w:val="aff9"/>
    <w:semiHidden/>
    <w:rsid w:val="00A37D49"/>
    <w:rPr>
      <w:rFonts w:ascii="Times New Roman" w:eastAsia="Times New Roman" w:hAnsi="Times New Roman" w:cs="Times New Roman"/>
      <w:noProof/>
      <w:snapToGrid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tif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tiff"/><Relationship Id="rId10" Type="http://schemas.openxmlformats.org/officeDocument/2006/relationships/footnotes" Target="foot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4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23</TotalTime>
  <Pages>3</Pages>
  <Words>295</Words>
  <Characters>1686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yuan gao</cp:lastModifiedBy>
  <cp:revision>9</cp:revision>
  <cp:lastPrinted>2013-10-03T12:51:00Z</cp:lastPrinted>
  <dcterms:created xsi:type="dcterms:W3CDTF">2022-11-17T16:58:00Z</dcterms:created>
  <dcterms:modified xsi:type="dcterms:W3CDTF">2026-01-27T02:33:00Z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